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E0" w:rsidRPr="000279F7" w:rsidRDefault="009B1A82" w:rsidP="009B1A82">
      <w:pPr>
        <w:tabs>
          <w:tab w:val="center" w:pos="4419"/>
        </w:tabs>
        <w:spacing w:line="276" w:lineRule="auto"/>
        <w:jc w:val="center"/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</w:pPr>
      <w:r w:rsidRPr="000279F7"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  <w:t>TRAMITES OFRECIDOS</w:t>
      </w:r>
      <w:r>
        <w:rPr>
          <w:rFonts w:ascii="Arial" w:hAnsi="Arial" w:cs="Arial"/>
          <w:b/>
          <w:color w:val="A8D08D" w:themeColor="accent6" w:themeTint="99"/>
          <w:sz w:val="48"/>
          <w:szCs w:val="48"/>
          <w:u w:val="single"/>
        </w:rPr>
        <w:t xml:space="preserve"> EN LA COORDINACIÓN MUNICIPAL PARA LAS MUJERES </w:t>
      </w:r>
    </w:p>
    <w:p w:rsidR="00C72FE0" w:rsidRPr="00385B24" w:rsidRDefault="00C72FE0" w:rsidP="00C72FE0">
      <w:pPr>
        <w:tabs>
          <w:tab w:val="center" w:pos="4419"/>
        </w:tabs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r w:rsidRPr="00385B24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 xml:space="preserve">PENSION ALIMENTICIA </w:t>
      </w: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5B24">
        <w:rPr>
          <w:rFonts w:ascii="Arial" w:hAnsi="Arial" w:cs="Arial"/>
          <w:sz w:val="24"/>
          <w:szCs w:val="24"/>
        </w:rPr>
        <w:t>Derecho legal de hijas e hijos que debe ser otorgado obligatoriamente por los padres para su manutención (alimento, ropa, educación, salud) cuando estos se han separado. Debe ser otorgado por quien abandona el domicilio y deja el cuidado de las hijas e hijos a la pareja. La pensión es otorgada en su mayoría por los hombres a las mujeres, quienes legalmente tienen más posibilidades de conservar a los hijos/as. Se requiere hacer una demanda específica ante un juzgado civil para solicitarla, en caso de que el padre no quiera asumir la obligación.</w:t>
      </w:r>
    </w:p>
    <w:p w:rsidR="00C72FE0" w:rsidRPr="00385B24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r w:rsidRPr="00385B24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>ABUSO SEXUAL</w:t>
      </w:r>
    </w:p>
    <w:p w:rsidR="00C72FE0" w:rsidRPr="009B1A82" w:rsidRDefault="00C72FE0" w:rsidP="00C72FE0">
      <w:pPr>
        <w:spacing w:after="0" w:line="360" w:lineRule="auto"/>
        <w:jc w:val="both"/>
        <w:rPr>
          <w:rFonts w:ascii="Arial" w:hAnsi="Arial" w:cs="Arial"/>
          <w:sz w:val="24"/>
        </w:rPr>
      </w:pPr>
      <w:r w:rsidRPr="009B1A82">
        <w:rPr>
          <w:rFonts w:ascii="Arial" w:hAnsi="Arial" w:cs="Arial"/>
          <w:sz w:val="24"/>
        </w:rPr>
        <w:t>Toda actividad sexual que sucede entre dos personas sin que medie el consentimiento de alguna de ellas. El acoso se puede manifestar entre adultos, de un adulto a menor o incluso entre menores, siendo esta modalidad menos frecuente. El acoso sexual abarca conductas como: cualquier tipo de penetración, la exposición a material sexualmente explícito, tocamiento corporal, masturbación forzada, exhibicionismo, las insinuaciones sexuales, la exposición a actos sexuales no deseados, prostitución y pornografía infantil.</w:t>
      </w:r>
    </w:p>
    <w:p w:rsidR="00C72FE0" w:rsidRPr="009B1A82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sz w:val="24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</w:p>
    <w:p w:rsidR="00C72FE0" w:rsidRDefault="00C72FE0" w:rsidP="00C72FE0">
      <w:pPr>
        <w:spacing w:line="48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  <w:r w:rsidRPr="00992503">
        <w:rPr>
          <w:rFonts w:ascii="Arial" w:hAnsi="Arial" w:cs="Arial"/>
          <w:b/>
          <w:color w:val="A8D08D" w:themeColor="accent6" w:themeTint="99"/>
          <w:u w:val="single"/>
        </w:rPr>
        <w:lastRenderedPageBreak/>
        <w:t>ORDEN DE RESTRICCION</w:t>
      </w:r>
    </w:p>
    <w:p w:rsidR="00C72FE0" w:rsidRPr="009B1A82" w:rsidRDefault="00C72FE0" w:rsidP="009B1A82">
      <w:pPr>
        <w:spacing w:line="360" w:lineRule="auto"/>
        <w:jc w:val="both"/>
        <w:rPr>
          <w:rFonts w:ascii="Arial" w:hAnsi="Arial" w:cs="Arial"/>
          <w:color w:val="484848"/>
          <w:sz w:val="24"/>
          <w:szCs w:val="24"/>
        </w:rPr>
      </w:pPr>
      <w:r w:rsidRPr="009B1A82">
        <w:rPr>
          <w:rFonts w:ascii="Arial" w:hAnsi="Arial" w:cs="Arial"/>
          <w:color w:val="484848"/>
          <w:sz w:val="24"/>
          <w:szCs w:val="24"/>
        </w:rPr>
        <w:t xml:space="preserve">La orden de restricción es una medida de protección. De acuerdo con el </w:t>
      </w:r>
      <w:r w:rsidRPr="009B1A82">
        <w:rPr>
          <w:rStyle w:val="Textoennegrita"/>
          <w:rFonts w:ascii="Arial" w:hAnsi="Arial" w:cs="Arial"/>
          <w:color w:val="484848"/>
          <w:sz w:val="24"/>
          <w:szCs w:val="24"/>
        </w:rPr>
        <w:t>artículo 137 del Código Nacional de Procedimientos Penales (CNPP)</w:t>
      </w:r>
      <w:r w:rsidRPr="009B1A82">
        <w:rPr>
          <w:rFonts w:ascii="Arial" w:hAnsi="Arial" w:cs="Arial"/>
          <w:color w:val="484848"/>
          <w:sz w:val="24"/>
          <w:szCs w:val="24"/>
        </w:rPr>
        <w:t xml:space="preserve">, el Ministerio Público, bajo su más estricta responsabilidad, ordenará fundada y motivadamente la aplicación de las medidas de protección idóneas cuando estime que el </w:t>
      </w:r>
      <w:r w:rsidRPr="009B1A82">
        <w:rPr>
          <w:rStyle w:val="Textoennegrita"/>
          <w:rFonts w:ascii="Arial" w:hAnsi="Arial" w:cs="Arial"/>
          <w:color w:val="484848"/>
          <w:sz w:val="24"/>
          <w:szCs w:val="24"/>
        </w:rPr>
        <w:t>imputado representa un riesgo inminente en contra de la seguridad de la víctima u ofendido</w:t>
      </w:r>
      <w:r w:rsidRPr="009B1A82">
        <w:rPr>
          <w:rFonts w:ascii="Arial" w:hAnsi="Arial" w:cs="Arial"/>
          <w:color w:val="484848"/>
          <w:sz w:val="24"/>
          <w:szCs w:val="24"/>
        </w:rPr>
        <w:t>.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En ese sentido, nuestra legislación penal prevé las siguientes medidas de protección: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I. Prohibición de acercarse o comunicarse con la víctima u ofendido;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II. Limitación para asistir o acercarse al domicilio de la víctima u ofendido o al lugar donde se encuentre;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III. Separación inmediata del domicilio;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IV. La entrega inmediata de objetos de uso personal y documentos de identidad de la víctima que tuviera en su posesión el probable responsable;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V. La prohibición de realizar conductas de intimidación o molestia a la víctima u ofendido o a personas relacionados con ellos;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VI. Vigilancia en el domicilio de la víctima u ofendido;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VII.</w:t>
      </w:r>
      <w:r w:rsidR="009B1A82" w:rsidRPr="009B1A82">
        <w:rPr>
          <w:rFonts w:ascii="Arial" w:hAnsi="Arial" w:cs="Arial"/>
          <w:color w:val="484848"/>
        </w:rPr>
        <w:t xml:space="preserve"> </w:t>
      </w:r>
      <w:r w:rsidRPr="009B1A82">
        <w:rPr>
          <w:rFonts w:ascii="Arial" w:hAnsi="Arial" w:cs="Arial"/>
          <w:color w:val="484848"/>
        </w:rPr>
        <w:t>Protección policial de la víctima u ofendido;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>VIII.</w:t>
      </w:r>
      <w:r w:rsidR="009B1A82" w:rsidRPr="009B1A82">
        <w:rPr>
          <w:rFonts w:ascii="Arial" w:hAnsi="Arial" w:cs="Arial"/>
          <w:color w:val="484848"/>
        </w:rPr>
        <w:t xml:space="preserve"> </w:t>
      </w:r>
      <w:r w:rsidRPr="009B1A82">
        <w:rPr>
          <w:rFonts w:ascii="Arial" w:hAnsi="Arial" w:cs="Arial"/>
          <w:color w:val="484848"/>
        </w:rPr>
        <w:t>Auxilio inmediato por integrantes de instituciones policiales, al domicilio en donde se localice o se encuentre la víctima u ofendido en el momento de solicitarlo;</w:t>
      </w:r>
    </w:p>
    <w:p w:rsidR="00C72FE0" w:rsidRPr="009B1A82" w:rsidRDefault="00C72FE0" w:rsidP="009B1A82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B1A82">
        <w:rPr>
          <w:rFonts w:ascii="Arial" w:hAnsi="Arial" w:cs="Arial"/>
          <w:color w:val="484848"/>
        </w:rPr>
        <w:t xml:space="preserve">IX. Traslado de la víctima u ofendido a refugios o albergues temporales, así como de sus descendientes, </w:t>
      </w: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</w:p>
    <w:p w:rsidR="00C72FE0" w:rsidRPr="00992503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lastRenderedPageBreak/>
        <w:t>X. El reingreso de la víctima u ofendido a su domicilio, una vez que se salvaguarde su seguridad.</w:t>
      </w:r>
    </w:p>
    <w:p w:rsidR="00C72FE0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484848"/>
        </w:rPr>
      </w:pPr>
      <w:r w:rsidRPr="00992503">
        <w:rPr>
          <w:rFonts w:ascii="Arial" w:hAnsi="Arial" w:cs="Arial"/>
          <w:color w:val="484848"/>
        </w:rPr>
        <w:t xml:space="preserve">En caso de que se imponga la orden de restricción como medida de protección, dentro de los cinco días siguientes deberá celebrarse audiencia en la que el juez podrá cancelarla, ratificarla o modificarla mediante la imposición de las medidas cautelares correspondientes. </w:t>
      </w:r>
    </w:p>
    <w:p w:rsidR="00C72FE0" w:rsidRPr="003F13C9" w:rsidRDefault="00C72FE0" w:rsidP="00C72FE0">
      <w:pPr>
        <w:pStyle w:val="ql-align-justify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b/>
          <w:color w:val="A8D08D" w:themeColor="accent6" w:themeTint="99"/>
          <w:u w:val="single"/>
        </w:rPr>
      </w:pPr>
      <w:r w:rsidRPr="003F13C9">
        <w:rPr>
          <w:rFonts w:ascii="Arial" w:hAnsi="Arial" w:cs="Arial"/>
          <w:b/>
          <w:color w:val="A8D08D" w:themeColor="accent6" w:themeTint="99"/>
          <w:u w:val="single"/>
        </w:rPr>
        <w:t xml:space="preserve">DIVORCIO ORIGINADO POR VIOLENCIA INTRAFAMILIAR </w:t>
      </w: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503">
        <w:rPr>
          <w:rFonts w:ascii="Arial" w:hAnsi="Arial" w:cs="Arial"/>
          <w:sz w:val="24"/>
          <w:szCs w:val="24"/>
        </w:rPr>
        <w:t>La nueva causal ahora incluida en el listado que contempla el artículo 323 del Código Civil prevé a la violencia intrafamiliar grave o reiterada entre los cónyuges, o de éstos con respecto a los hijos, que hagan imposible la vida conyugal; consideramos que la misma se encontraba ya prevista en las diversas causales enumeradas como primera, segunda, tercera, cuarta, quinta, décimo primera, décimo segunda y décimo quinta, dado que éstas implican violencia intrafamiliar, si tomamos en cuenta que en términos del Código Penal de acuerdo al artículo 221 A quien ejerza violencia física o moral contra una persona con la que tenga relación de parentesco, matrimonio, concubinato o análoga, se le impondrá de cuatro meses a cuatro años de prisión…” Por su parte el artículo 2 fracción segunda de la Ley para la Asistencia, la Prevención y la Atención de la Violencia Intrafamiliar del Estado de Guanajuato define a la Violencia intrafamiliar como el acto u omisión en contra de la dignidad, libertad, igualdad o integridad física que consista en agredir o dañar de manera física, verbal, psicológica, económica o sexual a una persona, con la que exista o haya existido una relación de parentesco, matrimonio, concubinato o con la que se tenga una relación interpersonal análoga o aun no teniendo alguna de las calidades anteriores viva de manera permanente en el mismo domicilio del receptor; de ahí que consideremos como hemos dicho que la nueva causal de divorcio implícitamente ya se encontraba dentro del propio precepto legal 323 del Código Civil.</w:t>
      </w: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2FE0" w:rsidRDefault="00C72FE0" w:rsidP="00C72F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2FE0" w:rsidRDefault="00C72FE0" w:rsidP="00C72FE0">
      <w:pPr>
        <w:jc w:val="both"/>
        <w:rPr>
          <w:rFonts w:ascii="Arial" w:hAnsi="Arial" w:cs="Arial"/>
          <w:sz w:val="24"/>
          <w:szCs w:val="24"/>
        </w:rPr>
      </w:pPr>
    </w:p>
    <w:p w:rsidR="00C72FE0" w:rsidRPr="009B1A82" w:rsidRDefault="00C72FE0" w:rsidP="00C72FE0">
      <w:pPr>
        <w:jc w:val="both"/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</w:pPr>
      <w:r w:rsidRPr="009B1A82">
        <w:rPr>
          <w:rFonts w:ascii="Arial" w:hAnsi="Arial" w:cs="Arial"/>
          <w:b/>
          <w:color w:val="A8D08D" w:themeColor="accent6" w:themeTint="99"/>
          <w:sz w:val="24"/>
          <w:szCs w:val="24"/>
          <w:u w:val="single"/>
        </w:rPr>
        <w:t xml:space="preserve">TALLER DE REEDUCACION PARA HOMBRES GENERADORES DE VIOLENCIA </w:t>
      </w:r>
    </w:p>
    <w:p w:rsidR="00C72FE0" w:rsidRPr="00D1182C" w:rsidRDefault="00C72FE0" w:rsidP="009B1A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Programa con gran eco en el género masculino con modalidad de taller y grupo reflexivo; dirigido a hombres adolescentes y adultos en escuelas de nivel medio superior, fábricas, empresas y colonias.</w:t>
      </w:r>
    </w:p>
    <w:p w:rsidR="00C72FE0" w:rsidRPr="00D1182C" w:rsidRDefault="00C72FE0" w:rsidP="009B1A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A través de ‘Masculinidades’ se informa y sensibiliza hacia una reeducación masculina que brinda</w:t>
      </w:r>
      <w:bookmarkStart w:id="0" w:name="_GoBack"/>
      <w:bookmarkEnd w:id="0"/>
      <w:r w:rsidRPr="00D1182C">
        <w:rPr>
          <w:rFonts w:ascii="Arial" w:hAnsi="Arial" w:cs="Arial"/>
          <w:sz w:val="24"/>
          <w:szCs w:val="24"/>
        </w:rPr>
        <w:t xml:space="preserve"> plataformas de identificación y vinculación en la esfera personal, de pareja, laboral y social; previniendo la violencia de género.</w:t>
      </w:r>
    </w:p>
    <w:p w:rsidR="00C72FE0" w:rsidRPr="00D1182C" w:rsidRDefault="00C72FE0" w:rsidP="009B1A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182C">
        <w:rPr>
          <w:rFonts w:ascii="Arial" w:hAnsi="Arial" w:cs="Arial"/>
          <w:sz w:val="24"/>
          <w:szCs w:val="24"/>
        </w:rPr>
        <w:t>Se promueve la reflexión mediante información teórica para generar conciencia de género, además de ejercicios vivenciales con el fin de que los hombres conozcan otra forma de ejercer la masculinidad. </w:t>
      </w:r>
    </w:p>
    <w:p w:rsidR="00FE2748" w:rsidRDefault="004D64E4"/>
    <w:sectPr w:rsidR="00FE274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E4" w:rsidRDefault="004D64E4" w:rsidP="00C72FE0">
      <w:pPr>
        <w:spacing w:after="0" w:line="240" w:lineRule="auto"/>
      </w:pPr>
      <w:r>
        <w:separator/>
      </w:r>
    </w:p>
  </w:endnote>
  <w:endnote w:type="continuationSeparator" w:id="0">
    <w:p w:rsidR="004D64E4" w:rsidRDefault="004D64E4" w:rsidP="00C7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E4" w:rsidRDefault="004D64E4" w:rsidP="00C72FE0">
      <w:pPr>
        <w:spacing w:after="0" w:line="240" w:lineRule="auto"/>
      </w:pPr>
      <w:r>
        <w:separator/>
      </w:r>
    </w:p>
  </w:footnote>
  <w:footnote w:type="continuationSeparator" w:id="0">
    <w:p w:rsidR="004D64E4" w:rsidRDefault="004D64E4" w:rsidP="00C7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E0" w:rsidRDefault="009B1A8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B376652" wp14:editId="475D48B5">
          <wp:simplePos x="0" y="0"/>
          <wp:positionH relativeFrom="page">
            <wp:posOffset>3810</wp:posOffset>
          </wp:positionH>
          <wp:positionV relativeFrom="paragraph">
            <wp:posOffset>-467360</wp:posOffset>
          </wp:positionV>
          <wp:extent cx="7754337" cy="10035540"/>
          <wp:effectExtent l="0" t="0" r="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337" cy="1003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0"/>
    <w:rsid w:val="001A7CFA"/>
    <w:rsid w:val="00442E55"/>
    <w:rsid w:val="004D64E4"/>
    <w:rsid w:val="007D7961"/>
    <w:rsid w:val="009B1A82"/>
    <w:rsid w:val="00C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60B7"/>
  <w15:chartTrackingRefBased/>
  <w15:docId w15:val="{D154F14B-062B-45C3-963A-E161850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ql-align-justify">
    <w:name w:val="ql-align-justify"/>
    <w:basedOn w:val="Normal"/>
    <w:rsid w:val="00C7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72F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2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FE0"/>
  </w:style>
  <w:style w:type="paragraph" w:styleId="Piedepgina">
    <w:name w:val="footer"/>
    <w:basedOn w:val="Normal"/>
    <w:link w:val="PiedepginaCar"/>
    <w:uiPriority w:val="99"/>
    <w:unhideWhenUsed/>
    <w:rsid w:val="00C72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Dell 2</cp:lastModifiedBy>
  <cp:revision>2</cp:revision>
  <dcterms:created xsi:type="dcterms:W3CDTF">2022-03-03T17:34:00Z</dcterms:created>
  <dcterms:modified xsi:type="dcterms:W3CDTF">2022-10-27T18:09:00Z</dcterms:modified>
</cp:coreProperties>
</file>